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5EB" w:rsidRPr="001F342A" w:rsidRDefault="005F25EB" w:rsidP="005F25EB">
      <w:pPr>
        <w:widowControl w:val="0"/>
        <w:autoSpaceDE w:val="0"/>
        <w:autoSpaceDN w:val="0"/>
        <w:adjustRightInd w:val="0"/>
        <w:jc w:val="both"/>
        <w:rPr>
          <w:sz w:val="28"/>
        </w:rPr>
      </w:pPr>
      <w:r w:rsidRPr="001F342A">
        <w:rPr>
          <w:sz w:val="28"/>
        </w:rPr>
        <w:t>Практическое занятие №3</w:t>
      </w:r>
    </w:p>
    <w:p w:rsidR="00902D9B" w:rsidRDefault="005F25EB" w:rsidP="005F25EB">
      <w:pPr>
        <w:rPr>
          <w:sz w:val="28"/>
        </w:rPr>
      </w:pPr>
      <w:r w:rsidRPr="001F342A">
        <w:rPr>
          <w:sz w:val="28"/>
        </w:rPr>
        <w:t>Диаграмма направленности антенн. Коэффициент усиления антенны. Ширина луча антенны. Развязка и типы антенн. Излучающие  кабели. Пример решения задач по выше перечисленным вопросам (на примере стандарта GSM).</w:t>
      </w:r>
    </w:p>
    <w:p w:rsidR="005F25EB" w:rsidRDefault="005F25EB" w:rsidP="005F25EB">
      <w:pPr>
        <w:rPr>
          <w:sz w:val="28"/>
        </w:rPr>
      </w:pPr>
    </w:p>
    <w:tbl>
      <w:tblPr>
        <w:tblW w:w="42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18"/>
        <w:gridCol w:w="2173"/>
        <w:gridCol w:w="1473"/>
      </w:tblGrid>
      <w:tr w:rsidR="005F25EB" w:rsidRPr="00F92479" w:rsidTr="005F25EB">
        <w:trPr>
          <w:trHeight w:val="1934"/>
          <w:jc w:val="center"/>
        </w:trPr>
        <w:tc>
          <w:tcPr>
            <w:tcW w:w="1951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Методы беспроводного абонентского доступа.</w:t>
            </w:r>
          </w:p>
        </w:tc>
        <w:tc>
          <w:tcPr>
            <w:tcW w:w="2618" w:type="dxa"/>
          </w:tcPr>
          <w:p w:rsidR="005F25EB" w:rsidRPr="001E5BC2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Системы на базе бесшнуровой телефонии, системы </w:t>
            </w:r>
            <w:r>
              <w:rPr>
                <w:sz w:val="28"/>
                <w:szCs w:val="28"/>
                <w:lang w:val="en-US"/>
              </w:rPr>
              <w:t>WLL</w:t>
            </w:r>
          </w:p>
        </w:tc>
        <w:tc>
          <w:tcPr>
            <w:tcW w:w="2173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последние разработки в организации беспроводного абонентского доступа ведущими мировыми фирмами</w:t>
            </w:r>
          </w:p>
        </w:tc>
        <w:tc>
          <w:tcPr>
            <w:tcW w:w="1473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5F25EB" w:rsidRPr="00F92479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Опрос, стандарты </w:t>
            </w:r>
            <w:r>
              <w:rPr>
                <w:sz w:val="28"/>
                <w:szCs w:val="28"/>
                <w:lang w:val="en-US"/>
              </w:rPr>
              <w:t>DECT</w:t>
            </w:r>
            <w:r>
              <w:rPr>
                <w:sz w:val="28"/>
                <w:szCs w:val="28"/>
              </w:rPr>
              <w:t xml:space="preserve"> и</w:t>
            </w:r>
            <w:r w:rsidRPr="00F9247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B</w:t>
            </w:r>
            <w:r w:rsidRPr="00F92479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>CDMA</w:t>
            </w:r>
            <w:r>
              <w:rPr>
                <w:sz w:val="28"/>
                <w:szCs w:val="28"/>
              </w:rPr>
              <w:t xml:space="preserve"> сравнение</w:t>
            </w:r>
          </w:p>
        </w:tc>
      </w:tr>
    </w:tbl>
    <w:p w:rsidR="005F25EB" w:rsidRPr="00902D9B" w:rsidRDefault="005F25EB" w:rsidP="005F25EB"/>
    <w:p w:rsidR="00902D9B" w:rsidRPr="00902D9B" w:rsidRDefault="00902D9B" w:rsidP="00902D9B"/>
    <w:p w:rsidR="00902D9B" w:rsidRPr="00902D9B" w:rsidRDefault="00902D9B" w:rsidP="00902D9B"/>
    <w:p w:rsidR="00C67369" w:rsidRPr="00902D9B" w:rsidRDefault="00C67369" w:rsidP="00902D9B"/>
    <w:sectPr w:rsidR="00C67369" w:rsidRPr="0090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5F25EB"/>
    <w:rsid w:val="00902D9B"/>
    <w:rsid w:val="00AF1B5F"/>
    <w:rsid w:val="00C6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2020-09-10T16:50:00Z</dcterms:created>
  <dcterms:modified xsi:type="dcterms:W3CDTF">2020-09-10T16:50:00Z</dcterms:modified>
</cp:coreProperties>
</file>